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36 vom 16. August 2016</w:t>
      </w:r>
    </w:p>
    <w:p>
      <w:r>
        <w:t>GR Gerichte, 2016-08-16, DE</w:t>
      </w:r>
    </w:p>
    <w:p>
      <w:r>
        <w:rPr>
          <w:b/>
        </w:rPr>
        <w:t xml:space="preserve">Quelle: </w:t>
      </w:r>
      <w:r>
        <w:t>https://mcp.opencaselaw.ch/entscheid/gr_gerichte_U 2016 36</w:t>
      </w:r>
    </w:p>
    <w:p>
      <w:r>
        <w:t>FR: GR_GERICHTE U 2016 36 du 16 août 2016</w:t>
      </w:r>
    </w:p>
    <w:p>
      <w:r>
        <w:t>IT: GR_GERICHTE U 2016 36 del 16 agosto 2016</w:t>
      </w:r>
    </w:p>
    <w:p>
      <w:pPr>
        <w:pStyle w:val="Heading2"/>
      </w:pPr>
      <w:r>
        <w:t>Regeste</w:t>
      </w:r>
    </w:p>
    <w:p>
      <w:r>
        <w:t>Kehrichtabfuhr | öffentliche Dienste</w:t>
      </w:r>
    </w:p>
    <w:p>
      <w:pPr>
        <w:pStyle w:val="Heading2"/>
      </w:pPr>
      <w:r>
        <w:t>Erwägungen</w:t>
      </w:r>
    </w:p>
    <w:p>
      <w:r>
        <w:rPr>
          <w:b/>
        </w:rPr>
        <w:t>E. 5</w:t>
      </w:r>
    </w:p>
    <w:p>
      <w:r>
        <w:t>Am 14. März 2016 lud der Gemeindevorstand die Einwohner von C._____ zu einer Besprechung resp. Aussprache ein. Diese wurde am 29. März 2016 denn auch durchgeführt.</w:t>
      </w:r>
    </w:p>
    <w:p>
      <w:r>
        <w:rPr>
          <w:b/>
        </w:rPr>
        <w:t>E. 6</w:t>
      </w:r>
    </w:p>
    <w:p>
      <w:r>
        <w:t>Am 16. März 2016 teilte A._____ der Gemeinde mit, er könne dieser Ein- ladung aus beruflichen Gründen nicht Folge leisten und erinnerte daran, dass er einen beschwerdefähigen Entscheid verlangt habe.</w:t>
      </w:r>
    </w:p>
    <w:p>
      <w:r>
        <w:t>- 3 -</w:t>
      </w:r>
    </w:p>
    <w:p>
      <w:r>
        <w:rPr>
          <w:b/>
        </w:rPr>
        <w:t>E. 7</w:t>
      </w:r>
    </w:p>
    <w:p>
      <w:r>
        <w:t>Mit Schreiben vom 21. März 2016 wiederholte die Gemeinde gegenüber A._____ ihren bereits geäusserten Standpunkt, wonach es sich beim in der Kompetenz des Gemeindevorstandes liegenden Entscheid betreffend Aufhebung von Sammelstellen um einen reinen Verwaltungsentscheid handle, weshalb diesbezüglich auch kein beschwerdefähiger Entscheid zugestellt werden könne.</w:t>
      </w:r>
    </w:p>
    <w:p>
      <w:r>
        <w:rPr>
          <w:b/>
        </w:rPr>
        <w:t>E. 8</w:t>
      </w:r>
    </w:p>
    <w:p>
      <w:r>
        <w:t>Am 13. April 2016 ersuchte auch B._____ die Gemeinde um Zustellung eines anfechtbaren Entscheids bis zum 10. Mai 2016. Am 22. April 2016 erfolgte hierauf ebenfalls eine abschlägige Antwort der Gemeinde.</w:t>
      </w:r>
    </w:p>
    <w:p>
      <w:r>
        <w:rPr>
          <w:b/>
        </w:rPr>
        <w:t>E. 9</w:t>
      </w:r>
    </w:p>
    <w:p>
      <w:r>
        <w:t>Am 3. Mai 2016 erhob MLaw D._____ namens und im Auftrag von A._____ und B._____ (nachfolgend Beschwerdeführer) Beschwerde beim Verwaltungsgericht des Kantons Graubünden. Daraufhin forderte der In- struktionsrichter MLaw D._____, der auskunftsgemäss weder über ein Anwaltspatent noch über eine Praktikumsbewilligung im Kanton Graubünden verfügte, auf, die Beschwerde bis zum 17. Mai 2016 entwe- der durch einen bevollmächtigten Rechtsanwalt oder durch die Be- schwerdeführer selber unterzeichnen zu lassen.</w:t>
      </w:r>
    </w:p>
    <w:p>
      <w:r>
        <w:rPr>
          <w:b/>
        </w:rPr>
        <w:t>E. 10</w:t>
      </w:r>
    </w:p>
    <w:p>
      <w:r>
        <w:t>Am 18. Mai 2016 ging beim Verwaltungsgericht sodann eine von Rechts- anwalt Dr. Gion Andri Decurtins unterzeichnete Eingabe der Beschwerde- führer ein. Darin wurden folgende Anträge gestellt: "1. Es sei festzustellen, dass die Beschwerdegegnerin Rechtsverweige- rung begeht. 2. Es sei die Beschwerdegegnerin anzuweisen, den Beschwerdefüh- rern unverzüglich eine Verfügung betreffend die Aufhebung der Keh- richtsammelstelle in C._____ zu eröffnen.</w:t>
      </w:r>
    </w:p>
    <w:p>
      <w:r>
        <w:t>- 4 - 3. Eventualiter sei die Beschwerdegegnerin zu verpflichten, die Eingabe vom 31. Dezember 2015 als Beschwerde gegen einen Realakt ent- gegenzunehmen. 4. Alles unter Kosten- und Entschädigungsfolgen zulasten der Be- schwerdegegnerin." Hinsichtlich der geltend gemachten Rechtsverweigerung wurde ausge- führt, dass sie mehrfach ausdrücklich um Erlass eines anfechtbaren Ent- scheids ersucht sowie ebenfalls mehrmals kundgetan hätten, mit der Schliessung der Abfallsammelstelle im Ortsteil C._____ nicht einverstan- den gewesen zu sein. Die Beschwerdegegnerin habe dies jedoch stets ausdrücklich abgelehnt. Falls diese angenommen habe, bei der Schlies- sung der Kehrichtsammelstelle handle es sich um einen Realakt, so hätte sie die "Einsprache" vom 31. Dezember 2015 als Beschwerde im Sinne von Art. 49 Abs. 3 VRG entgegennehmen müssen. Insofern liege auch eine Verletzung der Rechtsweggarantie nach Art. 29a BV vor.</w:t>
      </w:r>
    </w:p>
    <w:p>
      <w:r>
        <w:rPr>
          <w:b/>
        </w:rPr>
        <w:t>E. 11</w:t>
      </w:r>
    </w:p>
    <w:p>
      <w:r>
        <w:t>In ihrer Stellungnahme vom 7. Juni 2016 beantragte die Gemeinde (nach- folgend Beschwerdegegnerin) die kostenfällige Abweisung der Be- schwerde. Dabei hielt sie unter Darlegung der gesetzlichen Grundlagen des Abfallentsorgungswesens fest, dass sie gestützt auf eine genügende gesetzliche Grundlage sowie im Rahmen ihres Ermessens gehandelt ha- be und dass den Einwohnern diesbezüglich kein Mitspracherecht und schon gar keine Entscheidkompetenz zukomme, weshalb die Beschwer- deführer auch keine anfechtbare Verfügung verlangen könnten.</w:t>
      </w:r>
    </w:p>
    <w:p>
      <w:r>
        <w:rPr>
          <w:b/>
        </w:rPr>
        <w:t>E. 12</w:t>
      </w:r>
    </w:p>
    <w:p>
      <w:r>
        <w:t>In ihrer Replik vom 16. Juni 2016 hielten die Beschwerdeführer an ihren Anträgen und bisherigen Ausführungen fest. Ergänzend führten sie aus, dass das Bestehen eines Ermessensspielraumes den Anspruch auf Er- lass einer angefochtenen Verfügung nicht ausschliesse. Gleichzeitig reichte der Rechtsvertreter der Beschwerdeführer dem Gericht seine Ho- norarnote über Fr. 3'047.50 ein.</w:t>
      </w:r>
    </w:p>
    <w:p>
      <w:r>
        <w:t>- 5 -</w:t>
      </w:r>
    </w:p>
    <w:p>
      <w:r>
        <w:rPr>
          <w:b/>
        </w:rPr>
        <w:t>E. 13</w:t>
      </w:r>
    </w:p>
    <w:p>
      <w:r>
        <w:t>Am 27. Juni 2016 hielt auch die Beschwerdegegnerin duplicando an ihren Anträgen fest und hob erneut hervor, dass es vorliegend in erster Linie um die Zuständigkeit für einen solchen Entscheid im Abfallentsorgungs- wesen und in zweiter Linie um die Möglichkeit der richterlichen Überprü- fung eines solchen gehe. Ausserdem wies sie bezüglich der eingereichten Honorarnote des beschwerdeführerischen Rechtsvertreters auf den im Kanton Graubünden üblichen Stundenansatz zwischen Fr. 210.-- und 270.-- hin.</w:t>
      </w:r>
    </w:p>
    <w:p>
      <w:r>
        <w:rPr>
          <w:b/>
        </w:rPr>
        <w:t>E. 14</w:t>
      </w:r>
    </w:p>
    <w:p>
      <w:r>
        <w:t>Auf entsprechende Aufforderung des Instruktionsrichters hin stellte die Beschwerdegegnerin dem Gericht am 15. Juli 2016 sämtliche zwischen ihr und den Beschwerdeführern geführte Korrespondenz zu. Auf die weiteren Ausführungen der Parteien in ihren Rechtsschriften so- wie auf die im Recht liegenden Beweismittel wird, soweit erforderlich, in den nachfolgenden Erwägungen eingegangen. Das Gericht zieht in Erwägung: 1. a) Beim Verwaltungsgericht können Entscheide von Gemeinden angefoch- ten werden, soweit diese nicht bei einer anderen Instanz angefochten werden können oder nach kantonalem oder eidgenössischem Recht end- gültig sind (Art. 49 Abs. 1 lit. a des Gesetzes über die Verwaltungsrechts- pflege [VRG; BR 370.100]). Zur Führung einer solchen Beschwerde ist berechtigt, wer durch den angefochtenen Entscheid berührt ist und ein schutzwürdiges Interesse an seiner Aufhebung oder Änderung hat oder wer durch besondere Vorschrift dazu ermächtigt ist (Art. 50 VRG). Im Rahmen der Verwaltungsgerichtsbeschwerde können Rechtsverletzun- gen, einschliesslich der Überschreitung oder des Missbrauchs des Er- messens, sowie die unrichtige oder unvollständige Feststellung des</w:t>
      </w:r>
    </w:p>
    <w:p>
      <w:r>
        <w:t>- 6 - rechtserheblichen Sachverhalts geltend gemacht werden (Art. 51 Abs. 1 VRG). Die Beschwerde ist schriftlich innert 30 Tagen seit Mitteilung des angefochtenen Entscheids beim Verwaltungsgericht einzureichen (Art. 52 Abs. 1 VRG).</w:t>
      </w:r>
    </w:p>
    <w:p>
      <w:r>
        <w:t>b) Von dieser allgemeinen Verwaltungsgerichtsbeschwerde unterscheidet sich die gegen eine Gemeinde gerichtete Rechtsverzögerungs- oder Rechtsverweigerungsbeschwerde insofern, als in diesem Fall kein an- fechtbarer Entscheid vorliegt, weil eine Gemeinde untätig bleibt oder das gebotene Handeln über Gebühr hinauszögert, obgleich sie zum Tätigwer- den verpflichtet wäre. Solche behördlichen Unterlassungen setzt Art. 49 Abs. 3 VRG den beim Verwaltungsgericht anfechtbaren Entscheiden gleich. Durch diese gesetzliche Fiktion wird für formelle Rechtsverweige- rungen sowie Rechtsverzögerungen im Sinne von Art. 29 Abs. 1 der Bun- desverfassung der Schweizerischen Eidgenossenschaft (BV; SR 101) ein taugliches Anfechtungsobjekt geschaffen, jedoch nur für den Fall, dass der verweigerte bzw. verzögerte Entscheid beim Verwaltungsgericht an- gefochten werden könnte (vgl. Urteil des Verwaltungsgerichts [VGU] A 09 60 und 61 vom 12. Januar 2010 E.3a; KÖLZ/HÄNER/BERTSCHI, Verwal- tungsverfahren und Verwaltungsrechtspflege des Bundes, 3. Aufl., Zürich/Basel/Genf 2013, Rz. 1308). Wird Art. 49 Abs. 3 VRG in diesem Sinne als reine Verfahrensregel zum Anfechtungsobjekt verstanden, er- gibt sich daraus, dass die Rechtsverzögerungs- bzw. Rechtsverweige- rungsbeschwerde ansonsten grundsätzlich den gleichen Anforderungen wie alle anderen Verwaltungsgerichtsbeschwerden zu genügen hat. Sie ist allerdings im Regelfall nicht an eine Rechtsmittelfrist gebunden. Wenn aber die angegangene Behörde den Erlass eines anfechtbaren Ent- scheids ausdrücklich ablehnt, ist der Beschwerdeführer gehalten, seine Beschwerde innerhalb einer nach Treu und Glauben zu bestimmenden Frist einzureichen (vgl. Urteil des Bundesgerichts 2P.16/2002 vom</w:t>
      </w:r>
    </w:p>
    <w:p>
      <w:r>
        <w:rPr>
          <w:b/>
        </w:rPr>
        <w:t>E. 18</w:t>
      </w:r>
    </w:p>
    <w:p>
      <w:r>
        <w:t>Dezember 2015 bekannt gemachten Beschluss der Beschwerdegeg- nerin um einen Realakt (vgl. vorstehend Erwägung 2c). Ein solcher ist gemäss Art. 49 Abs. 3 VRG dann mittels Beschwerde beim Verwaltungs- gericht anfechtbar, wenn er in Rechte und Pflichten von Personen ein- greift. Wie das Bundesgericht in seiner jüngeren Rechtsprechung geklärt hat, ist dabei ein Eingriff in geschützte Rechtspositionen vonnöten, während bloss faktische Interessen nicht ausreichen (vgl. BGE 140 II 315 E.4.5 sowie zum vormaligen Lehrstreit BERIGER/GLASER, Rechtsschutz gegen Realakte: Bundesgericht schafft Klarheit, in: SJZ 111 [2015] Nr. 7 S. 174 f.). In der Botschaft zu Art. 28 E-VRG wird gar ausgeführt, dass mit dieser Bestimmung (sowie mit dem identischen Art. 49 Abs. 3 E-VRG) neu diejenigen Realakte den anfechtbaren Entscheiden gleichgestellt würden, welche in verfassungsrechtliche Rechte und Pflichten der Perso- nen eingreifen (vgl. Botschaft der Regierung an den Grossen Rat betref- fend die Optimierung der kantonalen Gerichtsorganisation [Justizreform] vom 30. Mai 2006, Heft Nr. 6/2006-2008, S. 546 und 551).</w:t>
      </w:r>
    </w:p>
    <w:p>
      <w:r>
        <w:t>- 12 - b) Die Beschwerdeführer als Abfallinhaber haben die Pflicht, die von der Be- schwerdegegnerin bereitgestellten Kehrichtsammelstellen zu benützen (Art. 2 und 12 des kommunalen Abfallgesetzes [AG] vom 25. Oktober 2011). Sie haben aber weder das Recht noch die Pflicht, eine bestimmte Sammelstelle zu benützen. Sodann obliegt ihnen als Abfallinhaber und als Grundstückeigentümer die Pflicht, die Kehrichtgebühren zu bezahlen (Grund- und Mengengebühren; Art. 19 ff. AG). Diese Pflicht bildet jedoch nicht Gegenstand des vorliegenden Verfahrens und wird durch die um- strittene Aufhebung der Kehrichtsammelstelle auch nicht beeinflusst. Wei- tere rechtlich geschützte Interessen, welche durch die geplante Aufhe- bung der Kehrichtsammelstelle tangiert würden, sind – auch unter Berücksichtigung der überdies einschlägigen Gesetzesgrundlagen wie beispielsweise dem kantonalen Umweltschutzgesetz (KUSG; BR 820.100) – nicht ersichtlich. Faktische Interessen wie etwa ein angeb- lich unzumutbarer Fussweg zur nächsten Sammelstelle (vgl. Einspruch vom 31. Dezember 2015 in Bg-act. 2) sind vor dem Hintergrund des vor- stehend Gesagten nicht von Relevanz. Da mit anderen Worten keine ge- schützten (Grund-)Rechtspositionen der Beschwerdeführer tangiert wer- den, hätte der Realakt "Aufhebung Kehrichtsammelstelle C._____" folg- lich nicht angefochten werden können. Daher braucht nicht erörtert zu werden, ob die vorliegende Eingabe – trotz der bereits abgelaufenen Frist, aber in Anbetracht des säumigen Verhaltens der Beschwerdegeg- nerin – als Beschwerde gegen das damalige Schreiben vom 18. Dezem- ber 2015 im Sinne eines Realaktes entgegengenommen werden soll. Aus dem gleichen Grunde (sowie auch wegen der fehlenden Zuständigkeit) ist davon abzusehen, die Beschwerdegegnerin entsprechend dem Eventual- antrag der Beschwerdeführer zu verpflichten, die Eingabe vom 31. De- zember 2015 als Beschwerde gegen einen Realakt entgegenzunehmen. Die vorliegende Beschwerde ist demzufolge auch insofern abzuweisen.</w:t>
      </w:r>
    </w:p>
    <w:p>
      <w:r>
        <w:t>- 13 - 5. a) Zusammenfassend ist festzuhalten, dass die Beschwerdegegnerin in An- betracht des einstufig ausgestalteten Rechtsschutzsystems gegen Real- akte im Kanton Graubünden nicht gehalten resp. verpflichtet war, den An- trägen der Beschwerdeführer auf Erlass einer anfechtbaren Verfügung hinsichtlich der beabsichtigten Aufhebung der Kehrichtsammelstelle in C._____ nachzukommen. Dementsprechend kann auch keine Rechts- verweigerung vorliegen, weshalb das Verhalten der Beschwerdegegnerin im Ergebnis nicht zu beanstanden und die vorliegende Beschwerde ab- zuweisen ist. b) Bei diesem Ausgang wären die Verfahrenskosten gestützt auf Art. 73 Abs. 1 und 2 VRG grundsätzlich vollumfänglich den unterliegenden Be- schwerdeführern aufzuerlegen gewesen. Bei der Kostenverteilung ist in- des zu berücksichtigen, dass es die Beschwerdegegnerin in pflichtwidri- ger Weise unterlassen hat, den Einspruch der heutigen Beschwerdeführer vom 31. Dezember 2015 zuständigkeitshalber als Beschwerde gegen ei- nen Realakt an das Verwaltungsgericht weiterzuleiten (vgl. hierzu vorste- hend Erwägung 3b). Am Ergebnis hätte sich zwar nichts geändert, zumal es sich beim fraglichen Aufhebungsbeschluss resp. beim entsprechenden Informationsschreiben vom 18. Dezember 2015 – wie soeben in Erwä- gung 4b dargelegt – nicht um einen beschwerdefähigen Realakt handelt. Mit einer Weiterleitung und einem entsprechenden abschlägigen Ent- scheid des Verwaltungsgerichts wären den Beschwerdeführern jedoch die Aufwendungen für das vorliegende Beschwerdeverfahren erspart geblie- ben. Daher rechtfertigt es sich, die Verletzung der Weiterleitungspflicht an dieser Stelle zu berücksichtigen und die Verfahrenskosten zu 1/5 der Be- schwerdegegnerin und zu 4/5 – zu gleichen Teilen und unter solidarischer Haftung – den unterliegenden Beschwerdeführern aufzuerlegen. c) Dementsprechend erscheint es auch gerechtfertigt, die Beschwerdeführer für ihre Aufwendungen im Zusammenhang mit dem vorliegenden Verfah-</w:t>
      </w:r>
    </w:p>
    <w:p>
      <w:r>
        <w:t>- 14 - ren angemessen zu entschädigen (Art. 78 Abs. 1 VRG). Zur Honorarnote des Rechtsvertreters der Beschwerdeführer ist mit der Beschwerdegeg- nerin festzuhalten, dass der zur Anwendung gebrachte Stundenansatz von Fr. 300.-- auf den im Kanton Graubünden maximal üblichen Ansatz von Fr. 270.-- zu reduzieren ist (Art. 3 Abs. 1 der Verordnung über die Bemessung des Honorars der Rechtsanwältinnen und Rechtsanwälte [Honorarverordnung, HV; BR 310.250]). Aus den gemäss Honorarnote aufgewendeten 9.9 Stunden, welche dem Gericht für die vorliegende An- gelegenheit als angemessen erscheinen, resultiert demnach ein Honorar nach Zeitaufwand von Fr. 2'673.--. Zusammen mit den Auslagen von Fr. 77.50 ergibt sich ein Betrag von Fr. 2'750.50, welcher den unterlie- genden Beschwerdeführern – entsprechend dem vorerwähnten Verhältnis – zu 1/5 zu ersetzen ist. Die von der Beschwerdegegnerin zu leistende Parteientschädigung wird demnach auf Fr. 550.10 festgesetzt. Demge- genüber erhält die eigentlich obsiegende Beschwerdegegnerin keine Par- teientschädigung, zumal sie lediglich in ihrem amtlichen Wirkungskreis obsiegt hat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